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C7" w:rsidRPr="00FD1ECC" w:rsidRDefault="003250C7" w:rsidP="00B71EBA">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بِسْمِ اللّٰهِ الرَّحْمٰنِ الرَّحِيمِ</w:t>
      </w:r>
    </w:p>
    <w:p w:rsidR="003250C7" w:rsidRPr="00FD1ECC" w:rsidRDefault="003250C7" w:rsidP="00B71EBA">
      <w:pPr>
        <w:spacing w:before="120" w:after="0" w:line="240" w:lineRule="auto"/>
        <w:jc w:val="center"/>
        <w:rPr>
          <w:rFonts w:ascii="Calibri" w:hAnsi="Calibri" w:cs="Calibri"/>
          <w:color w:val="FF0000"/>
          <w:sz w:val="28"/>
          <w:szCs w:val="28"/>
        </w:rPr>
      </w:pPr>
      <w:r w:rsidRPr="00FD1ECC">
        <w:rPr>
          <w:rFonts w:ascii="Calibri" w:hAnsi="Calibri" w:cs="Calibri"/>
          <w:color w:val="FF0000"/>
          <w:sz w:val="28"/>
          <w:szCs w:val="28"/>
          <w:rtl/>
        </w:rPr>
        <w:t>وَ بِهِ نَسْتَعِينُ</w:t>
      </w:r>
    </w:p>
    <w:p w:rsidR="003250C7" w:rsidRDefault="003250C7" w:rsidP="00B71EBA">
      <w:pPr>
        <w:spacing w:before="120" w:after="0" w:line="240" w:lineRule="auto"/>
        <w:jc w:val="center"/>
        <w:rPr>
          <w:rFonts w:ascii="Calibri" w:hAnsi="Calibri" w:cs="Calibri"/>
          <w:color w:val="0000B0"/>
          <w:sz w:val="28"/>
          <w:szCs w:val="28"/>
        </w:rPr>
      </w:pPr>
      <w:r>
        <w:rPr>
          <w:rFonts w:ascii="Calibri" w:hAnsi="Calibri" w:cs="Calibri"/>
          <w:color w:val="0000B0"/>
          <w:sz w:val="28"/>
          <w:szCs w:val="28"/>
        </w:rPr>
        <w:t>BARLA LAHİKASI</w:t>
      </w:r>
      <w:r w:rsidRPr="00FD1ECC">
        <w:rPr>
          <w:rFonts w:ascii="Calibri" w:hAnsi="Calibri" w:cs="Calibri"/>
          <w:color w:val="0000B0"/>
          <w:sz w:val="28"/>
          <w:szCs w:val="28"/>
        </w:rPr>
        <w:t xml:space="preserve"> </w:t>
      </w:r>
      <w:r>
        <w:rPr>
          <w:rFonts w:ascii="Calibri" w:hAnsi="Calibri" w:cs="Calibri"/>
          <w:color w:val="0000B0"/>
          <w:sz w:val="28"/>
          <w:szCs w:val="28"/>
        </w:rPr>
        <w:t>21. SAYFANIN</w:t>
      </w:r>
      <w:r w:rsidRPr="00FD1ECC">
        <w:rPr>
          <w:rFonts w:ascii="Calibri" w:hAnsi="Calibri" w:cs="Calibri"/>
          <w:color w:val="0000B0"/>
          <w:sz w:val="28"/>
          <w:szCs w:val="28"/>
        </w:rPr>
        <w:t xml:space="preserve"> TAHŞİYESİ</w:t>
      </w:r>
      <w:r w:rsidRPr="00A76A4A">
        <w:rPr>
          <w:rStyle w:val="DipnotSabitleyicisi"/>
          <w:rFonts w:ascii="Calibri" w:hAnsi="Calibri" w:cs="Calibri"/>
          <w:color w:val="0000B0"/>
          <w:sz w:val="28"/>
          <w:szCs w:val="28"/>
          <w:shd w:val="clear" w:color="auto" w:fill="FFFFFF"/>
        </w:rPr>
        <w:footnoteReference w:id="2"/>
      </w:r>
      <w:r w:rsidRPr="00FD1ECC">
        <w:rPr>
          <w:rFonts w:ascii="Calibri" w:hAnsi="Calibri" w:cs="Calibri"/>
          <w:color w:val="0000B0"/>
          <w:sz w:val="28"/>
          <w:szCs w:val="28"/>
        </w:rPr>
        <w:t xml:space="preserve"> </w:t>
      </w:r>
      <w:r>
        <w:rPr>
          <w:rFonts w:ascii="Calibri" w:hAnsi="Calibri" w:cs="Calibri"/>
          <w:color w:val="0000B0"/>
          <w:sz w:val="28"/>
          <w:szCs w:val="28"/>
        </w:rPr>
        <w:t>–</w:t>
      </w:r>
      <w:r w:rsidRPr="00FD1ECC">
        <w:rPr>
          <w:rFonts w:ascii="Calibri" w:hAnsi="Calibri" w:cs="Calibri"/>
          <w:color w:val="0000B0"/>
          <w:sz w:val="28"/>
          <w:szCs w:val="28"/>
        </w:rPr>
        <w:t xml:space="preserve"> </w:t>
      </w:r>
      <w:r>
        <w:rPr>
          <w:rFonts w:ascii="Calibri" w:hAnsi="Calibri" w:cs="Calibri"/>
          <w:color w:val="0000B0"/>
          <w:sz w:val="28"/>
          <w:szCs w:val="28"/>
        </w:rPr>
        <w:t>Hizmet ehlinin dava adamı manasında olan hususiyetlerinden bazıları</w:t>
      </w:r>
      <w:r>
        <w:rPr>
          <w:rStyle w:val="FootnoteReference"/>
          <w:rFonts w:ascii="Calibri" w:hAnsi="Calibri" w:cs="Calibri"/>
          <w:color w:val="0000B0"/>
          <w:sz w:val="28"/>
          <w:szCs w:val="28"/>
        </w:rPr>
        <w:footnoteReference w:id="3"/>
      </w:r>
    </w:p>
    <w:p w:rsidR="003250C7" w:rsidRPr="003250C7" w:rsidRDefault="003250C7" w:rsidP="00B71EBA">
      <w:pPr>
        <w:spacing w:before="120" w:after="0" w:line="240" w:lineRule="auto"/>
        <w:jc w:val="center"/>
        <w:rPr>
          <w:rFonts w:ascii="Calibri" w:hAnsi="Calibri" w:cs="Calibri"/>
          <w:color w:val="FF0000"/>
          <w:sz w:val="28"/>
          <w:szCs w:val="28"/>
        </w:rPr>
      </w:pPr>
      <w:r w:rsidRPr="003250C7">
        <w:rPr>
          <w:rFonts w:ascii="Calibri" w:hAnsi="Calibri" w:cs="Calibri"/>
          <w:color w:val="FF0000"/>
          <w:sz w:val="28"/>
          <w:szCs w:val="28"/>
          <w:rtl/>
        </w:rPr>
        <w:t>بِاسْمِهِ وَاِنْ مِنْ شَيْءٍ اِلاَّ يُسَبِّحُ بِحَمْدِهِ</w:t>
      </w:r>
    </w:p>
    <w:p w:rsidR="003250C7" w:rsidRPr="003250C7" w:rsidRDefault="003250C7" w:rsidP="00B71EBA">
      <w:pPr>
        <w:spacing w:before="120" w:after="0" w:line="240" w:lineRule="auto"/>
        <w:jc w:val="center"/>
        <w:rPr>
          <w:rFonts w:ascii="Calibri" w:hAnsi="Calibri" w:cs="Calibri"/>
          <w:b/>
          <w:bCs/>
          <w:sz w:val="24"/>
          <w:szCs w:val="24"/>
        </w:rPr>
      </w:pPr>
      <w:r w:rsidRPr="003250C7">
        <w:rPr>
          <w:rFonts w:ascii="Calibri" w:hAnsi="Calibri" w:cs="Calibri"/>
          <w:b/>
          <w:bCs/>
          <w:sz w:val="24"/>
          <w:szCs w:val="24"/>
        </w:rPr>
        <w:t>Mukaddeme</w:t>
      </w:r>
    </w:p>
    <w:p w:rsidR="003250C7" w:rsidRPr="003250C7" w:rsidRDefault="003250C7" w:rsidP="00B71EBA">
      <w:pPr>
        <w:spacing w:before="120" w:after="0" w:line="240" w:lineRule="auto"/>
        <w:jc w:val="both"/>
        <w:rPr>
          <w:rFonts w:ascii="Calibri" w:hAnsi="Calibri" w:cs="Calibri"/>
          <w:sz w:val="24"/>
          <w:szCs w:val="24"/>
        </w:rPr>
      </w:pPr>
      <w:r w:rsidRPr="003250C7">
        <w:rPr>
          <w:rFonts w:ascii="Calibri" w:hAnsi="Calibri" w:cs="Calibri"/>
          <w:sz w:val="24"/>
          <w:szCs w:val="24"/>
        </w:rPr>
        <w:t>Hulusi Bey ve Sabri Efendi'nin mektublarında Risale-i Nur hakkındaki fıkralarının, bir mektub suretinde Risale-i Nur eczaları içinde idhal edilmesinin beş sebebi</w:t>
      </w:r>
      <w:r>
        <w:rPr>
          <w:rStyle w:val="FootnoteReference"/>
          <w:rFonts w:ascii="Calibri" w:hAnsi="Calibri" w:cs="Calibri"/>
          <w:sz w:val="24"/>
          <w:szCs w:val="24"/>
        </w:rPr>
        <w:footnoteReference w:id="4"/>
      </w:r>
      <w:r w:rsidRPr="003250C7">
        <w:rPr>
          <w:rFonts w:ascii="Calibri" w:hAnsi="Calibri" w:cs="Calibri"/>
          <w:sz w:val="24"/>
          <w:szCs w:val="24"/>
        </w:rPr>
        <w:t xml:space="preserve"> var:</w:t>
      </w:r>
    </w:p>
    <w:p w:rsidR="003250C7" w:rsidRPr="003250C7" w:rsidRDefault="003250C7" w:rsidP="00B71EBA">
      <w:pPr>
        <w:spacing w:before="120" w:after="0" w:line="240" w:lineRule="auto"/>
        <w:jc w:val="both"/>
        <w:rPr>
          <w:rFonts w:ascii="Calibri" w:hAnsi="Calibri" w:cs="Calibri"/>
          <w:sz w:val="24"/>
          <w:szCs w:val="24"/>
        </w:rPr>
      </w:pPr>
      <w:r w:rsidRPr="003250C7">
        <w:rPr>
          <w:rFonts w:ascii="Calibri" w:hAnsi="Calibri" w:cs="Calibri"/>
          <w:b/>
          <w:bCs/>
          <w:sz w:val="24"/>
          <w:szCs w:val="24"/>
        </w:rPr>
        <w:t>Birincisi:</w:t>
      </w:r>
      <w:r w:rsidRPr="003250C7">
        <w:rPr>
          <w:rFonts w:ascii="Calibri" w:hAnsi="Calibri" w:cs="Calibri"/>
          <w:sz w:val="24"/>
          <w:szCs w:val="24"/>
        </w:rPr>
        <w:t xml:space="preserve"> Hulusi ise, âhirdeki Sözler'in ve ekser Mektubat'ın yazılmasına onun </w:t>
      </w:r>
      <w:r w:rsidRPr="003250C7">
        <w:rPr>
          <w:rFonts w:ascii="Calibri" w:hAnsi="Calibri" w:cs="Calibri"/>
          <w:b/>
          <w:bCs/>
          <w:sz w:val="24"/>
          <w:szCs w:val="24"/>
        </w:rPr>
        <w:t>gayreti</w:t>
      </w:r>
      <w:r>
        <w:rPr>
          <w:rStyle w:val="FootnoteReference"/>
          <w:rFonts w:ascii="Calibri" w:hAnsi="Calibri" w:cs="Calibri"/>
          <w:b/>
          <w:bCs/>
          <w:sz w:val="24"/>
          <w:szCs w:val="24"/>
        </w:rPr>
        <w:footnoteReference w:id="5"/>
      </w:r>
      <w:r w:rsidRPr="003250C7">
        <w:rPr>
          <w:rFonts w:ascii="Calibri" w:hAnsi="Calibri" w:cs="Calibri"/>
          <w:b/>
          <w:bCs/>
          <w:sz w:val="24"/>
          <w:szCs w:val="24"/>
        </w:rPr>
        <w:t xml:space="preserve"> ve ciddiyeti</w:t>
      </w:r>
      <w:r>
        <w:rPr>
          <w:rStyle w:val="FootnoteReference"/>
          <w:rFonts w:ascii="Calibri" w:hAnsi="Calibri" w:cs="Calibri"/>
          <w:b/>
          <w:bCs/>
          <w:sz w:val="24"/>
          <w:szCs w:val="24"/>
        </w:rPr>
        <w:footnoteReference w:id="6"/>
      </w:r>
      <w:r w:rsidRPr="003250C7">
        <w:rPr>
          <w:rFonts w:ascii="Calibri" w:hAnsi="Calibri" w:cs="Calibri"/>
          <w:b/>
          <w:bCs/>
          <w:sz w:val="24"/>
          <w:szCs w:val="24"/>
        </w:rPr>
        <w:t xml:space="preserve"> </w:t>
      </w:r>
      <w:r w:rsidRPr="003250C7">
        <w:rPr>
          <w:rFonts w:ascii="Calibri" w:hAnsi="Calibri" w:cs="Calibri"/>
          <w:sz w:val="24"/>
          <w:szCs w:val="24"/>
        </w:rPr>
        <w:t xml:space="preserve">en mühim sebeb olması... Ve Sabri'nin dahi Ondokuzuncu Mektub gibi bir sülüs-ü Mektubat'ın yazılmasına sebeb, </w:t>
      </w:r>
      <w:r w:rsidRPr="003250C7">
        <w:rPr>
          <w:rFonts w:ascii="Calibri" w:hAnsi="Calibri" w:cs="Calibri"/>
          <w:b/>
          <w:bCs/>
          <w:sz w:val="24"/>
          <w:szCs w:val="24"/>
        </w:rPr>
        <w:t>onun samimî ve ciddî iştiyakı</w:t>
      </w:r>
      <w:r w:rsidRPr="003250C7">
        <w:rPr>
          <w:rFonts w:ascii="Calibri" w:hAnsi="Calibri" w:cs="Calibri"/>
          <w:sz w:val="24"/>
          <w:szCs w:val="24"/>
        </w:rPr>
        <w:t xml:space="preserve"> olmasıdır.</w:t>
      </w:r>
    </w:p>
    <w:p w:rsidR="003250C7" w:rsidRPr="003250C7" w:rsidRDefault="003250C7" w:rsidP="00B71EBA">
      <w:pPr>
        <w:spacing w:before="120" w:after="0" w:line="240" w:lineRule="auto"/>
        <w:jc w:val="both"/>
        <w:rPr>
          <w:rFonts w:ascii="Calibri" w:hAnsi="Calibri" w:cs="Calibri"/>
          <w:sz w:val="24"/>
          <w:szCs w:val="24"/>
        </w:rPr>
      </w:pPr>
      <w:r w:rsidRPr="003250C7">
        <w:rPr>
          <w:rFonts w:ascii="Calibri" w:hAnsi="Calibri" w:cs="Calibri"/>
          <w:b/>
          <w:bCs/>
          <w:sz w:val="24"/>
          <w:szCs w:val="24"/>
        </w:rPr>
        <w:t>İkinci Sebeb:</w:t>
      </w:r>
      <w:r w:rsidRPr="003250C7">
        <w:rPr>
          <w:rFonts w:ascii="Calibri" w:hAnsi="Calibri" w:cs="Calibri"/>
          <w:sz w:val="24"/>
          <w:szCs w:val="24"/>
        </w:rPr>
        <w:t xml:space="preserve"> Bu iki zât bilmiyorlardı ki; bir vakit şu fıkralar neşredilecek. Bilmedikleri için </w:t>
      </w:r>
      <w:r w:rsidRPr="00B71EBA">
        <w:rPr>
          <w:rFonts w:ascii="Calibri" w:hAnsi="Calibri" w:cs="Calibri"/>
          <w:b/>
          <w:bCs/>
          <w:sz w:val="24"/>
          <w:szCs w:val="24"/>
        </w:rPr>
        <w:t>gayet samimî, tasannu'suz, hâlisane</w:t>
      </w:r>
      <w:r w:rsidRPr="003250C7">
        <w:rPr>
          <w:rFonts w:ascii="Calibri" w:hAnsi="Calibri" w:cs="Calibri"/>
          <w:sz w:val="24"/>
          <w:szCs w:val="24"/>
        </w:rPr>
        <w:t xml:space="preserve"> ve derece-i zevklerini ve o hakaika karşı şevklerini ifade etmek için, hususî bir surette yazmışlar. Onun için o takdiratları takriz nev'inden değil, doğrudan doğruya mübalağasız bir surette, gördükleri ve zevkettikleri hakikatı ifade etmeleridir.</w:t>
      </w:r>
      <w:r w:rsidR="007D7C92">
        <w:rPr>
          <w:rStyle w:val="FootnoteReference"/>
          <w:rFonts w:ascii="Calibri" w:hAnsi="Calibri" w:cs="Calibri"/>
          <w:sz w:val="24"/>
          <w:szCs w:val="24"/>
        </w:rPr>
        <w:footnoteReference w:id="7"/>
      </w:r>
    </w:p>
    <w:p w:rsidR="003250C7" w:rsidRPr="003250C7" w:rsidRDefault="003250C7" w:rsidP="00B71EBA">
      <w:pPr>
        <w:spacing w:before="120" w:after="0" w:line="240" w:lineRule="auto"/>
        <w:jc w:val="both"/>
        <w:rPr>
          <w:rFonts w:ascii="Calibri" w:hAnsi="Calibri" w:cs="Calibri"/>
          <w:sz w:val="24"/>
          <w:szCs w:val="24"/>
        </w:rPr>
      </w:pPr>
      <w:r w:rsidRPr="003250C7">
        <w:rPr>
          <w:rFonts w:ascii="Calibri" w:hAnsi="Calibri" w:cs="Calibri"/>
          <w:b/>
          <w:bCs/>
          <w:sz w:val="24"/>
          <w:szCs w:val="24"/>
        </w:rPr>
        <w:t>Üçüncü Sebeb:</w:t>
      </w:r>
      <w:r w:rsidRPr="003250C7">
        <w:rPr>
          <w:rFonts w:ascii="Calibri" w:hAnsi="Calibri" w:cs="Calibri"/>
          <w:sz w:val="24"/>
          <w:szCs w:val="24"/>
        </w:rPr>
        <w:t xml:space="preserve"> Bu iki zât hakikî talebelerimden ve ciddî arkadaşlarımdan... Ve hizmet-i Kur'an'da arkadaşlarım içinde talebelik ve kardeşlik ve arkadaşlığın üç hâssası var ki, bu iki zât üçünde de birinciliği kazanmışlar.</w:t>
      </w:r>
    </w:p>
    <w:p w:rsidR="003250C7" w:rsidRPr="003250C7" w:rsidRDefault="003250C7" w:rsidP="00B71EBA">
      <w:pPr>
        <w:spacing w:before="120" w:after="0" w:line="240" w:lineRule="auto"/>
        <w:jc w:val="both"/>
        <w:rPr>
          <w:rFonts w:ascii="Calibri" w:hAnsi="Calibri" w:cs="Calibri"/>
          <w:sz w:val="24"/>
          <w:szCs w:val="24"/>
        </w:rPr>
      </w:pPr>
      <w:r w:rsidRPr="003250C7">
        <w:rPr>
          <w:rFonts w:ascii="Calibri" w:hAnsi="Calibri" w:cs="Calibri"/>
          <w:b/>
          <w:bCs/>
          <w:sz w:val="24"/>
          <w:szCs w:val="24"/>
        </w:rPr>
        <w:lastRenderedPageBreak/>
        <w:t>Birinci Hâssa:</w:t>
      </w:r>
      <w:r w:rsidRPr="003250C7">
        <w:rPr>
          <w:rFonts w:ascii="Calibri" w:hAnsi="Calibri" w:cs="Calibri"/>
          <w:sz w:val="24"/>
          <w:szCs w:val="24"/>
        </w:rPr>
        <w:t xml:space="preserve"> Bana mensub her şeye malları gibi </w:t>
      </w:r>
      <w:r w:rsidRPr="00760A44">
        <w:rPr>
          <w:rFonts w:ascii="Calibri" w:hAnsi="Calibri" w:cs="Calibri"/>
          <w:b/>
          <w:bCs/>
          <w:sz w:val="24"/>
          <w:szCs w:val="24"/>
        </w:rPr>
        <w:t>tesahub</w:t>
      </w:r>
      <w:r w:rsidR="00760A44">
        <w:rPr>
          <w:rStyle w:val="FootnoteReference"/>
          <w:rFonts w:ascii="Calibri" w:hAnsi="Calibri" w:cs="Calibri"/>
          <w:b/>
          <w:bCs/>
          <w:sz w:val="24"/>
          <w:szCs w:val="24"/>
        </w:rPr>
        <w:footnoteReference w:id="8"/>
      </w:r>
      <w:r w:rsidRPr="003250C7">
        <w:rPr>
          <w:rFonts w:ascii="Calibri" w:hAnsi="Calibri" w:cs="Calibri"/>
          <w:sz w:val="24"/>
          <w:szCs w:val="24"/>
        </w:rPr>
        <w:t xml:space="preserve"> ediyorlar. </w:t>
      </w:r>
      <w:r w:rsidRPr="00361CD9">
        <w:rPr>
          <w:rFonts w:ascii="Calibri" w:hAnsi="Calibri" w:cs="Calibri"/>
          <w:b/>
          <w:bCs/>
          <w:sz w:val="24"/>
          <w:szCs w:val="24"/>
        </w:rPr>
        <w:t>Bir Söz yazılsa, kendileri yazmış ve te'lif etmiş gibi zevk alıyorlar, Allah'a şükrediyorlar. Âdeta cesedleri muhtelif, ruhları bir hükmünde hakikî manevî vereselerdir.</w:t>
      </w:r>
    </w:p>
    <w:p w:rsidR="003250C7" w:rsidRDefault="003250C7" w:rsidP="00B71EBA">
      <w:pPr>
        <w:spacing w:before="120" w:after="0" w:line="240" w:lineRule="auto"/>
        <w:jc w:val="both"/>
        <w:rPr>
          <w:rFonts w:ascii="Calibri" w:hAnsi="Calibri" w:cs="Calibri"/>
          <w:sz w:val="24"/>
          <w:szCs w:val="24"/>
        </w:rPr>
      </w:pPr>
      <w:r w:rsidRPr="003250C7">
        <w:rPr>
          <w:rFonts w:ascii="Calibri" w:hAnsi="Calibri" w:cs="Calibri"/>
          <w:b/>
          <w:bCs/>
          <w:sz w:val="24"/>
          <w:szCs w:val="24"/>
        </w:rPr>
        <w:t xml:space="preserve">İkinci Hâssa: </w:t>
      </w:r>
      <w:r w:rsidRPr="00717DCC">
        <w:rPr>
          <w:rFonts w:ascii="Calibri" w:hAnsi="Calibri" w:cs="Calibri"/>
          <w:b/>
          <w:bCs/>
          <w:sz w:val="24"/>
          <w:szCs w:val="24"/>
        </w:rPr>
        <w:t>Bütün makasıd-ı hayatiye içinde</w:t>
      </w:r>
      <w:r w:rsidR="00535E84">
        <w:rPr>
          <w:rStyle w:val="FootnoteReference"/>
          <w:rFonts w:ascii="Calibri" w:hAnsi="Calibri" w:cs="Calibri"/>
          <w:b/>
          <w:bCs/>
          <w:sz w:val="24"/>
          <w:szCs w:val="24"/>
        </w:rPr>
        <w:footnoteReference w:id="9"/>
      </w:r>
      <w:r w:rsidRPr="00717DCC">
        <w:rPr>
          <w:rFonts w:ascii="Calibri" w:hAnsi="Calibri" w:cs="Calibri"/>
          <w:b/>
          <w:bCs/>
          <w:sz w:val="24"/>
          <w:szCs w:val="24"/>
        </w:rPr>
        <w:t xml:space="preserve"> en büyük, en mühim maksadları, o nurlu Sözler vasıtasıyla Kur'an'a hizmet biliyorlar.</w:t>
      </w:r>
      <w:r w:rsidRPr="003250C7">
        <w:rPr>
          <w:rFonts w:ascii="Calibri" w:hAnsi="Calibri" w:cs="Calibri"/>
          <w:sz w:val="24"/>
          <w:szCs w:val="24"/>
        </w:rPr>
        <w:t xml:space="preserve"> Dünya hayatının netice-i hakikiyesinin ve dünyaya gelmekteki vazife-i fıtriyelerinin en mühimmi, hakaik-i imaniyeye hizmet olduğunu telakkileridir.</w:t>
      </w:r>
      <w:r w:rsidR="00717DCC">
        <w:rPr>
          <w:rStyle w:val="FootnoteReference"/>
          <w:rFonts w:ascii="Calibri" w:hAnsi="Calibri" w:cs="Calibri"/>
          <w:sz w:val="24"/>
          <w:szCs w:val="24"/>
        </w:rPr>
        <w:footnoteReference w:id="10"/>
      </w:r>
    </w:p>
    <w:p w:rsidR="00B71EBA" w:rsidRPr="00B71EBA" w:rsidRDefault="00B71EBA" w:rsidP="00B71EBA">
      <w:pPr>
        <w:spacing w:before="120" w:after="0" w:line="240" w:lineRule="auto"/>
        <w:jc w:val="both"/>
        <w:rPr>
          <w:rFonts w:ascii="Calibri" w:hAnsi="Calibri" w:cs="Calibri"/>
          <w:sz w:val="24"/>
          <w:szCs w:val="24"/>
        </w:rPr>
      </w:pPr>
      <w:r w:rsidRPr="00B71EBA">
        <w:rPr>
          <w:rFonts w:ascii="Calibri" w:hAnsi="Calibri" w:cs="Calibri"/>
          <w:b/>
          <w:bCs/>
          <w:sz w:val="24"/>
          <w:szCs w:val="24"/>
        </w:rPr>
        <w:t>Üçüncü Hâssa:</w:t>
      </w:r>
      <w:r w:rsidRPr="00B71EBA">
        <w:rPr>
          <w:rFonts w:ascii="Calibri" w:hAnsi="Calibri" w:cs="Calibri"/>
          <w:sz w:val="24"/>
          <w:szCs w:val="24"/>
        </w:rPr>
        <w:t xml:space="preserve"> </w:t>
      </w:r>
      <w:r w:rsidRPr="00717DCC">
        <w:rPr>
          <w:rFonts w:ascii="Calibri" w:hAnsi="Calibri" w:cs="Calibri"/>
          <w:b/>
          <w:bCs/>
          <w:sz w:val="24"/>
          <w:szCs w:val="24"/>
        </w:rPr>
        <w:t>Ben kendi nefsimde tecrübe ettiğim ve eczahane-i mukaddese-i Kur'aniyeden aldığım ilâçları, onlar da kendi yaralarını hissedip o ilâçları merhem suretinde tecrübe ediyorlar.</w:t>
      </w:r>
      <w:r w:rsidR="00717DCC">
        <w:rPr>
          <w:rStyle w:val="FootnoteReference"/>
          <w:rFonts w:ascii="Calibri" w:hAnsi="Calibri" w:cs="Calibri"/>
          <w:b/>
          <w:bCs/>
          <w:sz w:val="24"/>
          <w:szCs w:val="24"/>
        </w:rPr>
        <w:footnoteReference w:id="11"/>
      </w:r>
      <w:r w:rsidRPr="00717DCC">
        <w:rPr>
          <w:rFonts w:ascii="Calibri" w:hAnsi="Calibri" w:cs="Calibri"/>
          <w:b/>
          <w:bCs/>
          <w:sz w:val="24"/>
          <w:szCs w:val="24"/>
        </w:rPr>
        <w:t xml:space="preserve"> </w:t>
      </w:r>
      <w:r w:rsidRPr="00B71EBA">
        <w:rPr>
          <w:rFonts w:ascii="Calibri" w:hAnsi="Calibri" w:cs="Calibri"/>
          <w:sz w:val="24"/>
          <w:szCs w:val="24"/>
        </w:rPr>
        <w:t xml:space="preserve">Aynı hissiyatımla mütehassis oluyorlar. Ve ehl-i imanın imanlarını </w:t>
      </w:r>
      <w:r w:rsidRPr="00B71EBA">
        <w:rPr>
          <w:rFonts w:ascii="Calibri" w:hAnsi="Calibri" w:cs="Calibri"/>
          <w:sz w:val="24"/>
          <w:szCs w:val="24"/>
        </w:rPr>
        <w:lastRenderedPageBreak/>
        <w:t xml:space="preserve">muhafaza etmek </w:t>
      </w:r>
      <w:r w:rsidRPr="007B5689">
        <w:rPr>
          <w:rFonts w:ascii="Calibri" w:hAnsi="Calibri" w:cs="Calibri"/>
          <w:b/>
          <w:bCs/>
          <w:sz w:val="24"/>
          <w:szCs w:val="24"/>
        </w:rPr>
        <w:t>gayreti</w:t>
      </w:r>
      <w:r w:rsidRPr="00B71EBA">
        <w:rPr>
          <w:rFonts w:ascii="Calibri" w:hAnsi="Calibri" w:cs="Calibri"/>
          <w:sz w:val="24"/>
          <w:szCs w:val="24"/>
        </w:rPr>
        <w:t xml:space="preserve">, en yüksek derecede taşımaları ve ehl-i imanın kalbine gelen şübehat ve evhamdan hasıl olan yaraları tedavi etmek </w:t>
      </w:r>
      <w:r w:rsidRPr="007B5689">
        <w:rPr>
          <w:rFonts w:ascii="Calibri" w:hAnsi="Calibri" w:cs="Calibri"/>
          <w:b/>
          <w:bCs/>
          <w:sz w:val="24"/>
          <w:szCs w:val="24"/>
        </w:rPr>
        <w:t>iştiyakı</w:t>
      </w:r>
      <w:r w:rsidRPr="00B71EBA">
        <w:rPr>
          <w:rFonts w:ascii="Calibri" w:hAnsi="Calibri" w:cs="Calibri"/>
          <w:sz w:val="24"/>
          <w:szCs w:val="24"/>
        </w:rPr>
        <w:t xml:space="preserve">, yüksek bir derece-i </w:t>
      </w:r>
      <w:r w:rsidRPr="007B5689">
        <w:rPr>
          <w:rFonts w:ascii="Calibri" w:hAnsi="Calibri" w:cs="Calibri"/>
          <w:b/>
          <w:bCs/>
          <w:sz w:val="24"/>
          <w:szCs w:val="24"/>
        </w:rPr>
        <w:t>şefkatte</w:t>
      </w:r>
      <w:r w:rsidRPr="00B71EBA">
        <w:rPr>
          <w:rFonts w:ascii="Calibri" w:hAnsi="Calibri" w:cs="Calibri"/>
          <w:sz w:val="24"/>
          <w:szCs w:val="24"/>
        </w:rPr>
        <w:t xml:space="preserve"> hissetmeleridir.</w:t>
      </w:r>
    </w:p>
    <w:p w:rsidR="00B71EBA" w:rsidRPr="00B71EBA" w:rsidRDefault="00B71EBA" w:rsidP="00B71EBA">
      <w:pPr>
        <w:spacing w:before="120" w:after="0" w:line="240" w:lineRule="auto"/>
        <w:jc w:val="both"/>
        <w:rPr>
          <w:rFonts w:ascii="Calibri" w:hAnsi="Calibri" w:cs="Calibri"/>
          <w:sz w:val="24"/>
          <w:szCs w:val="24"/>
        </w:rPr>
      </w:pPr>
      <w:r w:rsidRPr="00B71EBA">
        <w:rPr>
          <w:rFonts w:ascii="Calibri" w:hAnsi="Calibri" w:cs="Calibri"/>
          <w:b/>
          <w:bCs/>
          <w:sz w:val="24"/>
          <w:szCs w:val="24"/>
        </w:rPr>
        <w:t>Dördüncü Sebeb:</w:t>
      </w:r>
      <w:r w:rsidRPr="00B71EBA">
        <w:rPr>
          <w:rFonts w:ascii="Calibri" w:hAnsi="Calibri" w:cs="Calibri"/>
          <w:sz w:val="24"/>
          <w:szCs w:val="24"/>
        </w:rPr>
        <w:t xml:space="preserve"> Hulusi Bey benim yegâne manevî evlâdım ve medar-ı tesellim ve hakikî vârisim ve bir deha-yı nuranî sahibi olacağı muhtemel olan biraderzadem Abdurrahman'ın vefatından sonra, Hulusi aynen yerine geçip o merhumdan beklediğim hizmeti, onun gibi îfaya başlamasıyla.. ve ben onu görmeden epey zaman evvel Sözler'i yazarken, onun aynı vazifesiyle muvazzaf bir şahs-ı manevî bana muhatab olmuşçasına, ekseriyet-i mutlaka ile temsilâtım onun vazifesine ve mesleğine göre olmuştur. Demek oluyor ki, bu şahsı Cenab-ı Hak bana hizmet-i Kur'an ve imanda bir talebe, bir muîn tayin etmiş. Ben de bilmeyerek onunla onu görmeden evvel konuşuyormuşum, ders veriyormuşum.</w:t>
      </w:r>
    </w:p>
    <w:p w:rsidR="00B71EBA" w:rsidRPr="00B71EBA" w:rsidRDefault="00B71EBA" w:rsidP="008104AC">
      <w:pPr>
        <w:spacing w:before="120" w:after="0" w:line="240" w:lineRule="auto"/>
        <w:jc w:val="both"/>
        <w:rPr>
          <w:rFonts w:ascii="Calibri" w:hAnsi="Calibri" w:cs="Calibri"/>
          <w:sz w:val="24"/>
          <w:szCs w:val="24"/>
        </w:rPr>
      </w:pPr>
      <w:r w:rsidRPr="00B71EBA">
        <w:rPr>
          <w:rFonts w:ascii="Calibri" w:hAnsi="Calibri" w:cs="Calibri"/>
          <w:sz w:val="24"/>
          <w:szCs w:val="24"/>
        </w:rPr>
        <w:t>Sabri ise fıtraten bende mevcud has bir nişan var. Bütün gezdiğim yerde kimsede görmedim. Sabri'de aynı nişan-ı fıtrî var. Bütün talebelerim içinde, karabet-i nesliyeden daha ziyade bir karabet kendinde hissetmiş. Ve şu havalide en az ümid ettiğim ve o da geç uyandığı halde en ileri gittiği bir işarettir ki; o da bir Hulusi-i Sânidir, müntehabdır.</w:t>
      </w:r>
      <w:r w:rsidR="008104AC">
        <w:rPr>
          <w:rStyle w:val="FootnoteReference"/>
          <w:rFonts w:ascii="Calibri" w:hAnsi="Calibri" w:cs="Calibri"/>
          <w:sz w:val="24"/>
          <w:szCs w:val="24"/>
        </w:rPr>
        <w:footnoteReference w:id="12"/>
      </w:r>
      <w:r w:rsidR="008104AC" w:rsidRPr="008104AC">
        <w:t xml:space="preserve"> </w:t>
      </w:r>
      <w:r w:rsidRPr="00B71EBA">
        <w:rPr>
          <w:rFonts w:ascii="Calibri" w:hAnsi="Calibri" w:cs="Calibri"/>
          <w:sz w:val="24"/>
          <w:szCs w:val="24"/>
        </w:rPr>
        <w:t>Cenab-ı Hak tarafından bana talebe ve hizmet-i Kur'anda arkadaş tayin edilmiştir.</w:t>
      </w:r>
    </w:p>
    <w:p w:rsidR="0069323D" w:rsidRDefault="00B71EBA" w:rsidP="00717DCC">
      <w:pPr>
        <w:spacing w:before="120" w:after="0" w:line="240" w:lineRule="auto"/>
        <w:jc w:val="both"/>
        <w:rPr>
          <w:rFonts w:ascii="Calibri" w:hAnsi="Calibri" w:cs="Calibri"/>
          <w:sz w:val="24"/>
          <w:szCs w:val="24"/>
        </w:rPr>
      </w:pPr>
      <w:r w:rsidRPr="00B71EBA">
        <w:rPr>
          <w:rFonts w:ascii="Calibri" w:hAnsi="Calibri" w:cs="Calibri"/>
          <w:b/>
          <w:bCs/>
          <w:sz w:val="24"/>
          <w:szCs w:val="24"/>
        </w:rPr>
        <w:t>Beşinci Sebeb:</w:t>
      </w:r>
      <w:r w:rsidRPr="00B71EBA">
        <w:rPr>
          <w:rFonts w:ascii="Calibri" w:hAnsi="Calibri" w:cs="Calibri"/>
          <w:sz w:val="24"/>
          <w:szCs w:val="24"/>
        </w:rPr>
        <w:t xml:space="preserve"> Ben kendi şahsıma ait takdirat ve medhi kabul etmem. Çünki manen büyük zarar gördüm. Onun için şahsıma karşı takdirat, fahr u gurura medar olduğu için şiddetle nefret edip korkuyorum. Fakat Kur'an-ı Hakîm'in dellâlı ve hizmetkârı olmaklığım cihetinden ve o vazife-i kudsiye noktasında takdirat ve medih bana ait olmayıp, nurlu Sözler'e ve belki doğrudan doğruya hakaik-i imaniyeye ve esrar-ı Kur'aniyeye ait olduğu için onu müftehirane değil, Cenab-ı Hakk'a karşı müteşekkirane kabul ediyorum. İşte bu iki şahıs, bu hakikatı herkesten ziyade anladıkları için, onlar bilmeyerek vicdanlarının sevkiyle yazdıkları takdirat ve medihlerini, Risale-i Nur eczaları içinde dercedilmeye sebeb olmuştur.</w:t>
      </w:r>
    </w:p>
    <w:sectPr w:rsidR="0069323D" w:rsidSect="006932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D9A" w:rsidRDefault="00BB4D9A" w:rsidP="003250C7">
      <w:pPr>
        <w:spacing w:after="0" w:line="240" w:lineRule="auto"/>
      </w:pPr>
      <w:r>
        <w:separator/>
      </w:r>
    </w:p>
  </w:endnote>
  <w:endnote w:type="continuationSeparator" w:id="1">
    <w:p w:rsidR="00BB4D9A" w:rsidRDefault="00BB4D9A" w:rsidP="00325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D9A" w:rsidRDefault="00BB4D9A" w:rsidP="003250C7">
      <w:pPr>
        <w:spacing w:after="0" w:line="240" w:lineRule="auto"/>
      </w:pPr>
      <w:r>
        <w:separator/>
      </w:r>
    </w:p>
  </w:footnote>
  <w:footnote w:type="continuationSeparator" w:id="1">
    <w:p w:rsidR="00BB4D9A" w:rsidRDefault="00BB4D9A" w:rsidP="003250C7">
      <w:pPr>
        <w:spacing w:after="0" w:line="240" w:lineRule="auto"/>
      </w:pPr>
      <w:r>
        <w:continuationSeparator/>
      </w:r>
    </w:p>
  </w:footnote>
  <w:footnote w:id="2">
    <w:p w:rsidR="003250C7" w:rsidRPr="00566F39" w:rsidRDefault="003250C7" w:rsidP="004913C9">
      <w:pPr>
        <w:pStyle w:val="Footnote"/>
        <w:spacing w:before="120"/>
        <w:ind w:left="0" w:firstLine="0"/>
        <w:jc w:val="both"/>
        <w:rPr>
          <w:rFonts w:ascii="Calibri" w:hAnsi="Calibri" w:cs="Calibri"/>
          <w:sz w:val="24"/>
          <w:szCs w:val="24"/>
        </w:rPr>
      </w:pPr>
      <w:r w:rsidRPr="00566F39">
        <w:rPr>
          <w:rStyle w:val="DipnotKarakterleri"/>
          <w:rFonts w:ascii="Calibri" w:hAnsi="Calibri" w:cs="Calibri"/>
          <w:sz w:val="24"/>
          <w:szCs w:val="24"/>
        </w:rPr>
        <w:footnoteRef/>
      </w:r>
      <w:r>
        <w:rPr>
          <w:rFonts w:ascii="Calibri" w:hAnsi="Calibri" w:cs="Calibri"/>
          <w:i/>
          <w:iCs/>
          <w:sz w:val="24"/>
          <w:szCs w:val="24"/>
        </w:rPr>
        <w:t xml:space="preserve"> </w:t>
      </w:r>
      <w:r w:rsidRPr="00566F39">
        <w:rPr>
          <w:rFonts w:ascii="Calibri" w:hAnsi="Calibri" w:cs="Calibri"/>
          <w:i/>
          <w:iCs/>
          <w:sz w:val="24"/>
          <w:szCs w:val="24"/>
        </w:rPr>
        <w:t>(Farklı derslerde okunmuş farklı derlemelerin birleştirilmesiyle hazırlanmıştır.)</w:t>
      </w:r>
    </w:p>
  </w:footnote>
  <w:footnote w:id="3">
    <w:p w:rsidR="003250C7" w:rsidRPr="004903B0" w:rsidRDefault="003250C7" w:rsidP="004913C9">
      <w:pPr>
        <w:pStyle w:val="FootnoteText"/>
        <w:spacing w:before="120"/>
        <w:jc w:val="both"/>
        <w:rPr>
          <w:sz w:val="24"/>
          <w:szCs w:val="24"/>
        </w:rPr>
      </w:pPr>
      <w:r w:rsidRPr="004903B0">
        <w:rPr>
          <w:rStyle w:val="FootnoteReference"/>
          <w:sz w:val="24"/>
          <w:szCs w:val="24"/>
        </w:rPr>
        <w:footnoteRef/>
      </w:r>
      <w:r w:rsidRPr="004903B0">
        <w:rPr>
          <w:sz w:val="24"/>
          <w:szCs w:val="24"/>
        </w:rPr>
        <w:t xml:space="preserve"> </w:t>
      </w:r>
      <w:r>
        <w:rPr>
          <w:b/>
          <w:bCs/>
          <w:sz w:val="24"/>
          <w:szCs w:val="24"/>
        </w:rPr>
        <w:t xml:space="preserve">Lahikalar daha çok hizmet düsturlarını ihtiva ettiğinden, Üstad Hazretlerinin de lahikaların başı olan Barla Lahikasının başında da hizmet ehlinin en ehemmiyetli hususiyetlerini nazara vermesi manidar düşmüştür. </w:t>
      </w:r>
    </w:p>
  </w:footnote>
  <w:footnote w:id="4">
    <w:p w:rsidR="003250C7" w:rsidRDefault="003250C7" w:rsidP="004913C9">
      <w:pPr>
        <w:pStyle w:val="FootnoteText"/>
        <w:spacing w:before="120"/>
        <w:jc w:val="both"/>
        <w:rPr>
          <w:b/>
          <w:bCs/>
          <w:sz w:val="24"/>
          <w:szCs w:val="24"/>
        </w:rPr>
      </w:pPr>
      <w:r>
        <w:rPr>
          <w:rStyle w:val="FootnoteReference"/>
        </w:rPr>
        <w:footnoteRef/>
      </w:r>
      <w:r>
        <w:t xml:space="preserve"> </w:t>
      </w:r>
      <w:r>
        <w:rPr>
          <w:b/>
          <w:bCs/>
          <w:sz w:val="24"/>
          <w:szCs w:val="24"/>
        </w:rPr>
        <w:t>Bu sebebler bir dava adamının sahib olması zaruri olan üstün meziyetlerdir.</w:t>
      </w:r>
    </w:p>
    <w:p w:rsidR="004913C9" w:rsidRDefault="004913C9" w:rsidP="004913C9">
      <w:pPr>
        <w:pStyle w:val="FootnoteText"/>
        <w:spacing w:before="120"/>
        <w:jc w:val="both"/>
      </w:pPr>
      <w:r>
        <w:rPr>
          <w:b/>
          <w:bCs/>
          <w:sz w:val="24"/>
          <w:szCs w:val="24"/>
        </w:rPr>
        <w:t xml:space="preserve">Ayrıca </w:t>
      </w:r>
      <w:r w:rsidRPr="004903B0">
        <w:rPr>
          <w:i/>
          <w:iCs/>
          <w:sz w:val="24"/>
          <w:szCs w:val="24"/>
        </w:rPr>
        <w:t xml:space="preserve">(Bakınız: </w:t>
      </w:r>
      <w:r w:rsidRPr="004913C9">
        <w:rPr>
          <w:i/>
          <w:iCs/>
          <w:sz w:val="24"/>
          <w:szCs w:val="24"/>
          <w:highlight w:val="yellow"/>
        </w:rPr>
        <w:t>Hizmet Ehlinin Bazı Hususiyetleri</w:t>
      </w:r>
      <w:r w:rsidRPr="004903B0">
        <w:rPr>
          <w:i/>
          <w:iCs/>
          <w:sz w:val="24"/>
          <w:szCs w:val="24"/>
        </w:rPr>
        <w:t xml:space="preserve"> Derleme</w:t>
      </w:r>
      <w:r>
        <w:rPr>
          <w:i/>
          <w:iCs/>
          <w:sz w:val="24"/>
          <w:szCs w:val="24"/>
        </w:rPr>
        <w:t>s</w:t>
      </w:r>
      <w:r w:rsidRPr="004903B0">
        <w:rPr>
          <w:i/>
          <w:iCs/>
          <w:sz w:val="24"/>
          <w:szCs w:val="24"/>
        </w:rPr>
        <w:t>i)</w:t>
      </w:r>
    </w:p>
  </w:footnote>
  <w:footnote w:id="5">
    <w:p w:rsidR="003250C7" w:rsidRDefault="003250C7" w:rsidP="004913C9">
      <w:pPr>
        <w:pStyle w:val="FootnoteText"/>
        <w:spacing w:before="120"/>
        <w:jc w:val="both"/>
      </w:pPr>
      <w:r>
        <w:rPr>
          <w:rStyle w:val="FootnoteReference"/>
        </w:rPr>
        <w:footnoteRef/>
      </w:r>
      <w:r>
        <w:t xml:space="preserve"> </w:t>
      </w:r>
      <w:r w:rsidRPr="004903B0">
        <w:rPr>
          <w:i/>
          <w:iCs/>
          <w:sz w:val="24"/>
          <w:szCs w:val="24"/>
        </w:rPr>
        <w:t xml:space="preserve">(Bakınız: </w:t>
      </w:r>
      <w:r w:rsidRPr="003250C7">
        <w:rPr>
          <w:i/>
          <w:iCs/>
          <w:sz w:val="24"/>
          <w:szCs w:val="24"/>
          <w:highlight w:val="yellow"/>
        </w:rPr>
        <w:t>Gayret</w:t>
      </w:r>
      <w:r w:rsidRPr="004903B0">
        <w:rPr>
          <w:i/>
          <w:iCs/>
          <w:sz w:val="24"/>
          <w:szCs w:val="24"/>
        </w:rPr>
        <w:t xml:space="preserve"> Derleme</w:t>
      </w:r>
      <w:r>
        <w:rPr>
          <w:i/>
          <w:iCs/>
          <w:sz w:val="24"/>
          <w:szCs w:val="24"/>
        </w:rPr>
        <w:t>s</w:t>
      </w:r>
      <w:r w:rsidRPr="004903B0">
        <w:rPr>
          <w:i/>
          <w:iCs/>
          <w:sz w:val="24"/>
          <w:szCs w:val="24"/>
        </w:rPr>
        <w:t>i)</w:t>
      </w:r>
    </w:p>
  </w:footnote>
  <w:footnote w:id="6">
    <w:p w:rsidR="003250C7" w:rsidRDefault="003250C7" w:rsidP="004913C9">
      <w:pPr>
        <w:pStyle w:val="FootnoteText"/>
        <w:spacing w:before="120"/>
        <w:jc w:val="both"/>
      </w:pPr>
      <w:r>
        <w:rPr>
          <w:rStyle w:val="FootnoteReference"/>
        </w:rPr>
        <w:footnoteRef/>
      </w:r>
      <w:r>
        <w:t xml:space="preserve"> </w:t>
      </w:r>
      <w:r w:rsidRPr="004903B0">
        <w:rPr>
          <w:i/>
          <w:iCs/>
          <w:sz w:val="24"/>
          <w:szCs w:val="24"/>
        </w:rPr>
        <w:t xml:space="preserve">(Bakınız: </w:t>
      </w:r>
      <w:r w:rsidRPr="003250C7">
        <w:rPr>
          <w:i/>
          <w:iCs/>
          <w:sz w:val="24"/>
          <w:szCs w:val="24"/>
          <w:highlight w:val="yellow"/>
        </w:rPr>
        <w:t>Ciddiyet</w:t>
      </w:r>
      <w:r>
        <w:rPr>
          <w:i/>
          <w:iCs/>
          <w:sz w:val="24"/>
          <w:szCs w:val="24"/>
        </w:rPr>
        <w:t xml:space="preserve"> ve </w:t>
      </w:r>
      <w:r w:rsidRPr="003250C7">
        <w:rPr>
          <w:i/>
          <w:iCs/>
          <w:sz w:val="24"/>
          <w:szCs w:val="24"/>
          <w:highlight w:val="yellow"/>
        </w:rPr>
        <w:t>Ciddiyet ve Vakar Esası</w:t>
      </w:r>
      <w:r w:rsidRPr="004903B0">
        <w:rPr>
          <w:i/>
          <w:iCs/>
          <w:sz w:val="24"/>
          <w:szCs w:val="24"/>
        </w:rPr>
        <w:t xml:space="preserve"> Derleme</w:t>
      </w:r>
      <w:r>
        <w:rPr>
          <w:i/>
          <w:iCs/>
          <w:sz w:val="24"/>
          <w:szCs w:val="24"/>
        </w:rPr>
        <w:t>ler</w:t>
      </w:r>
      <w:r w:rsidRPr="004903B0">
        <w:rPr>
          <w:i/>
          <w:iCs/>
          <w:sz w:val="24"/>
          <w:szCs w:val="24"/>
        </w:rPr>
        <w:t>i)</w:t>
      </w:r>
      <w:r w:rsidR="004913C9" w:rsidRPr="004913C9">
        <w:t xml:space="preserve"> </w:t>
      </w:r>
    </w:p>
  </w:footnote>
  <w:footnote w:id="7">
    <w:p w:rsidR="007D7C92" w:rsidRDefault="007D7C92" w:rsidP="004913C9">
      <w:pPr>
        <w:pStyle w:val="FootnoteText"/>
        <w:spacing w:before="120"/>
        <w:jc w:val="both"/>
        <w:rPr>
          <w:b/>
          <w:bCs/>
          <w:sz w:val="24"/>
          <w:szCs w:val="24"/>
        </w:rPr>
      </w:pPr>
      <w:r>
        <w:rPr>
          <w:rStyle w:val="FootnoteReference"/>
        </w:rPr>
        <w:footnoteRef/>
      </w:r>
      <w:r>
        <w:t xml:space="preserve"> </w:t>
      </w:r>
      <w:r>
        <w:rPr>
          <w:b/>
          <w:bCs/>
          <w:sz w:val="24"/>
          <w:szCs w:val="24"/>
        </w:rPr>
        <w:t>Hizmette medih ve şöhret beklememek manasında:</w:t>
      </w:r>
    </w:p>
    <w:p w:rsidR="007D7C92" w:rsidRDefault="007D7C92" w:rsidP="004913C9">
      <w:pPr>
        <w:pStyle w:val="FootnoteText"/>
        <w:spacing w:before="120"/>
        <w:jc w:val="both"/>
        <w:rPr>
          <w:b/>
          <w:bCs/>
          <w:sz w:val="24"/>
          <w:szCs w:val="24"/>
        </w:rPr>
      </w:pPr>
      <w:r w:rsidRPr="007D7C92">
        <w:rPr>
          <w:sz w:val="24"/>
          <w:szCs w:val="24"/>
        </w:rPr>
        <w:t>“</w:t>
      </w:r>
      <w:r w:rsidRPr="007D7C92">
        <w:rPr>
          <w:b/>
          <w:bCs/>
          <w:sz w:val="24"/>
          <w:szCs w:val="24"/>
        </w:rPr>
        <w:t xml:space="preserve">İhtar: </w:t>
      </w:r>
      <w:r w:rsidRPr="007D7C92">
        <w:rPr>
          <w:sz w:val="24"/>
          <w:szCs w:val="24"/>
        </w:rPr>
        <w:t>Teveccüh-ü nâs istenilmez, belki verilir. Verilse de onunla hoşlanılmaz. Hoşlansa ihlası kaybeder, riyaya girer. Şan ü şeref arzusuyla teveccüh-ü nâs ise; ücret ve mükâfat değil, belki ihlassızlık yüzünden gelen bir itab ve bir mücazattır. Evet amel-i sâlihin hayatı olan ihlasın zararına teveccüh-ü nâs ve şan ü şeref, kabir kapısına kadar muvakkat olan bir lezzet-i cüz'iyeye mukabil, kabrin öbür tarafında azab-ı kabir gibi nâhoş bir şekil aldığından; teveccüh-ü nâsı arzu etmek değil, belki ondan ürkmek ve kaçmak lâzımdır. Şöhretperestlerin ve şan ü şeref peşinde koşanların kulakları çınlasın.</w:t>
      </w:r>
      <w:r>
        <w:rPr>
          <w:sz w:val="24"/>
          <w:szCs w:val="24"/>
        </w:rPr>
        <w:t xml:space="preserve">” </w:t>
      </w:r>
      <w:r>
        <w:rPr>
          <w:b/>
          <w:bCs/>
          <w:sz w:val="24"/>
          <w:szCs w:val="24"/>
        </w:rPr>
        <w:t>Lem'alar (</w:t>
      </w:r>
      <w:r w:rsidRPr="007D7C92">
        <w:rPr>
          <w:b/>
          <w:bCs/>
          <w:sz w:val="24"/>
          <w:szCs w:val="24"/>
        </w:rPr>
        <w:t>149)</w:t>
      </w:r>
    </w:p>
    <w:p w:rsidR="00760A44" w:rsidRDefault="00760A44" w:rsidP="004913C9">
      <w:pPr>
        <w:pStyle w:val="FootnoteText"/>
        <w:spacing w:before="120"/>
        <w:jc w:val="both"/>
      </w:pPr>
      <w:r w:rsidRPr="00566F39">
        <w:rPr>
          <w:rFonts w:ascii="Calibri" w:hAnsi="Calibri" w:cs="Calibri"/>
          <w:i/>
          <w:iCs/>
          <w:sz w:val="24"/>
          <w:szCs w:val="24"/>
        </w:rPr>
        <w:t xml:space="preserve">(Bakınız: </w:t>
      </w:r>
      <w:r w:rsidRPr="00566F39">
        <w:rPr>
          <w:rFonts w:ascii="Calibri" w:hAnsi="Calibri"/>
          <w:i/>
          <w:iCs/>
          <w:sz w:val="24"/>
          <w:szCs w:val="24"/>
        </w:rPr>
        <w:t>İ</w:t>
      </w:r>
      <w:r w:rsidRPr="00566F39">
        <w:rPr>
          <w:rFonts w:ascii="Calibri" w:hAnsi="Calibri" w:cs="Calibri"/>
          <w:i/>
          <w:iCs/>
          <w:sz w:val="24"/>
          <w:szCs w:val="24"/>
        </w:rPr>
        <w:t xml:space="preserve">slam Prensipleri Ansiklopedisi </w:t>
      </w:r>
      <w:r w:rsidRPr="00760A44">
        <w:rPr>
          <w:rFonts w:ascii="Calibri" w:hAnsi="Calibri" w:cs="Calibri"/>
          <w:i/>
          <w:iCs/>
          <w:sz w:val="24"/>
          <w:szCs w:val="24"/>
          <w:highlight w:val="yellow"/>
        </w:rPr>
        <w:t>İstidrac</w:t>
      </w:r>
      <w:r w:rsidRPr="00566F39">
        <w:rPr>
          <w:rFonts w:ascii="Calibri" w:hAnsi="Calibri" w:cs="Calibri"/>
          <w:i/>
          <w:iCs/>
          <w:sz w:val="24"/>
          <w:szCs w:val="24"/>
        </w:rPr>
        <w:t xml:space="preserve"> Maddesi ve </w:t>
      </w:r>
      <w:r w:rsidRPr="00760A44">
        <w:rPr>
          <w:rFonts w:ascii="Calibri" w:hAnsi="Calibri" w:cs="Calibri"/>
          <w:i/>
          <w:iCs/>
          <w:sz w:val="24"/>
          <w:szCs w:val="24"/>
          <w:highlight w:val="yellow"/>
        </w:rPr>
        <w:t>İstidrac</w:t>
      </w:r>
      <w:r w:rsidRPr="00566F39">
        <w:rPr>
          <w:rFonts w:ascii="Calibri" w:hAnsi="Calibri" w:cs="Calibri"/>
          <w:i/>
          <w:iCs/>
          <w:sz w:val="24"/>
          <w:szCs w:val="24"/>
        </w:rPr>
        <w:t xml:space="preserve"> Derleme</w:t>
      </w:r>
      <w:r>
        <w:rPr>
          <w:rFonts w:ascii="Calibri" w:hAnsi="Calibri" w:cs="Calibri"/>
          <w:i/>
          <w:iCs/>
          <w:sz w:val="24"/>
          <w:szCs w:val="24"/>
        </w:rPr>
        <w:t>s</w:t>
      </w:r>
      <w:r w:rsidRPr="00566F39">
        <w:rPr>
          <w:rFonts w:ascii="Calibri" w:hAnsi="Calibri" w:cs="Calibri"/>
          <w:i/>
          <w:iCs/>
          <w:sz w:val="24"/>
          <w:szCs w:val="24"/>
        </w:rPr>
        <w:t>i)</w:t>
      </w:r>
    </w:p>
  </w:footnote>
  <w:footnote w:id="8">
    <w:p w:rsidR="00760A44" w:rsidRDefault="00760A44" w:rsidP="004913C9">
      <w:pPr>
        <w:spacing w:before="120" w:after="0" w:line="240" w:lineRule="auto"/>
        <w:jc w:val="both"/>
        <w:rPr>
          <w:rFonts w:ascii="Calibri" w:hAnsi="Calibri" w:cs="Calibri"/>
          <w:b/>
          <w:bCs/>
          <w:sz w:val="24"/>
          <w:szCs w:val="24"/>
        </w:rPr>
      </w:pPr>
      <w:r>
        <w:rPr>
          <w:rStyle w:val="FootnoteReference"/>
        </w:rPr>
        <w:footnoteRef/>
      </w:r>
      <w:r>
        <w:t xml:space="preserve"> </w:t>
      </w:r>
      <w:r w:rsidR="00361CD9">
        <w:rPr>
          <w:rFonts w:ascii="Calibri" w:hAnsi="Calibri" w:cs="Calibri"/>
          <w:sz w:val="24"/>
          <w:szCs w:val="24"/>
        </w:rPr>
        <w:t>“</w:t>
      </w:r>
      <w:r w:rsidR="00361CD9" w:rsidRPr="00760A44">
        <w:rPr>
          <w:rFonts w:ascii="Calibri" w:hAnsi="Calibri" w:cs="Calibri"/>
          <w:sz w:val="24"/>
          <w:szCs w:val="24"/>
        </w:rPr>
        <w:t xml:space="preserve">Fakat kardeşim, sen şimdi iki vazifeyi görmekle mükellefsin: Biri, kardeşim Hulusi Bey'in vazifesini; biri de, evlâd-ı maneviyem ve biraderzadem ve bir dehâ-i nuranî sahibi olmak pek muhtemel olan Abdurrahman'ın vazifesi de size ilâve edildi. O benim hakikî bir vârisim idi. </w:t>
      </w:r>
      <w:r w:rsidR="00361CD9" w:rsidRPr="00361CD9">
        <w:rPr>
          <w:rFonts w:ascii="Calibri" w:hAnsi="Calibri" w:cs="Calibri"/>
          <w:b/>
          <w:bCs/>
          <w:sz w:val="24"/>
          <w:szCs w:val="24"/>
        </w:rPr>
        <w:t>Yazdıklarımı ve malımı kendi malı telakki ederdi, öyle de sahib oluyordu. Sen de bundan sonra yazı ve sözleri, senin hocanın yazısı diye tutma; kendi malın ve senin sözlerindir bil, öyle sahib ol.</w:t>
      </w:r>
      <w:r w:rsidR="00361CD9" w:rsidRPr="00760A44">
        <w:rPr>
          <w:rFonts w:ascii="Calibri" w:hAnsi="Calibri" w:cs="Calibri"/>
          <w:sz w:val="24"/>
          <w:szCs w:val="24"/>
        </w:rPr>
        <w:t xml:space="preserve"> Hakkı Efendi'ye söyle ki, o da kardeşim Abdülmecid yerinde kendini anlasın ve onun vazifesiyle mükellef olduğunu bilsin.</w:t>
      </w:r>
      <w:r w:rsidR="00361CD9">
        <w:rPr>
          <w:rFonts w:ascii="Calibri" w:hAnsi="Calibri" w:cs="Calibri"/>
          <w:sz w:val="24"/>
          <w:szCs w:val="24"/>
        </w:rPr>
        <w:t xml:space="preserve">” </w:t>
      </w:r>
      <w:r w:rsidR="00361CD9" w:rsidRPr="00361CD9">
        <w:rPr>
          <w:rFonts w:ascii="Calibri" w:hAnsi="Calibri" w:cs="Calibri"/>
          <w:b/>
          <w:bCs/>
          <w:sz w:val="24"/>
          <w:szCs w:val="24"/>
        </w:rPr>
        <w:t>Barla Lahikası (249)</w:t>
      </w:r>
    </w:p>
    <w:p w:rsidR="00361CD9" w:rsidRPr="00361CD9" w:rsidRDefault="00361CD9" w:rsidP="004913C9">
      <w:pPr>
        <w:spacing w:before="120" w:after="0" w:line="240" w:lineRule="auto"/>
        <w:jc w:val="both"/>
        <w:rPr>
          <w:rFonts w:ascii="Calibri" w:hAnsi="Calibri" w:cs="Calibri"/>
          <w:sz w:val="24"/>
          <w:szCs w:val="24"/>
        </w:rPr>
      </w:pPr>
      <w:r w:rsidRPr="00361CD9">
        <w:rPr>
          <w:rFonts w:ascii="Calibri" w:hAnsi="Calibri" w:cs="Calibri"/>
          <w:sz w:val="24"/>
          <w:szCs w:val="24"/>
        </w:rPr>
        <w:t>“Aziz kardeşim Re'fet Bey!</w:t>
      </w:r>
      <w:r w:rsidR="00717DCC">
        <w:rPr>
          <w:rFonts w:ascii="Calibri" w:hAnsi="Calibri" w:cs="Calibri"/>
          <w:sz w:val="24"/>
          <w:szCs w:val="24"/>
        </w:rPr>
        <w:t xml:space="preserve"> </w:t>
      </w:r>
    </w:p>
    <w:p w:rsidR="00361CD9" w:rsidRDefault="00361CD9" w:rsidP="004913C9">
      <w:pPr>
        <w:spacing w:before="120" w:after="0" w:line="240" w:lineRule="auto"/>
        <w:jc w:val="both"/>
        <w:rPr>
          <w:rFonts w:ascii="Calibri" w:hAnsi="Calibri" w:cs="Calibri"/>
          <w:b/>
          <w:bCs/>
          <w:sz w:val="24"/>
          <w:szCs w:val="24"/>
        </w:rPr>
      </w:pPr>
      <w:r w:rsidRPr="00361CD9">
        <w:rPr>
          <w:rFonts w:ascii="Calibri" w:hAnsi="Calibri" w:cs="Calibri"/>
          <w:sz w:val="24"/>
          <w:szCs w:val="24"/>
        </w:rPr>
        <w:t xml:space="preserve">Senin mektubunu ve kitabını memnuniyetle aldım. Gayet sevdiğim bir talebem olan Hulusi Bey'in ruhunu sizde hissettim. Seni yeni değil, Hulusi gibi eski bir talebe olarak kabul ettim. </w:t>
      </w:r>
      <w:r w:rsidRPr="00361CD9">
        <w:rPr>
          <w:rFonts w:ascii="Calibri" w:hAnsi="Calibri" w:cs="Calibri"/>
          <w:b/>
          <w:bCs/>
          <w:sz w:val="24"/>
          <w:szCs w:val="24"/>
        </w:rPr>
        <w:t>Talebeliğin hâssası şudur ki, yazılan Sözler'e kendi malı gibi sahib olmalıdır. Kendisi te'lif etmiş ve yazmış nazarıyla bakıp, neşrine ve ehi</w:t>
      </w:r>
      <w:r>
        <w:rPr>
          <w:rFonts w:ascii="Calibri" w:hAnsi="Calibri" w:cs="Calibri"/>
          <w:b/>
          <w:bCs/>
          <w:sz w:val="24"/>
          <w:szCs w:val="24"/>
        </w:rPr>
        <w:t>l olanlara iblağına çalışmaktır</w:t>
      </w:r>
      <w:r w:rsidRPr="00361CD9">
        <w:rPr>
          <w:rFonts w:ascii="Calibri" w:hAnsi="Calibri" w:cs="Calibri"/>
          <w:b/>
          <w:bCs/>
          <w:sz w:val="24"/>
          <w:szCs w:val="24"/>
        </w:rPr>
        <w:t>.</w:t>
      </w:r>
      <w:r>
        <w:rPr>
          <w:rFonts w:ascii="Calibri" w:hAnsi="Calibri" w:cs="Calibri"/>
          <w:b/>
          <w:bCs/>
          <w:sz w:val="24"/>
          <w:szCs w:val="24"/>
        </w:rPr>
        <w:t xml:space="preserve">” </w:t>
      </w:r>
      <w:r w:rsidRPr="00361CD9">
        <w:rPr>
          <w:rFonts w:ascii="Calibri" w:hAnsi="Calibri" w:cs="Calibri"/>
          <w:b/>
          <w:bCs/>
          <w:sz w:val="24"/>
          <w:szCs w:val="24"/>
        </w:rPr>
        <w:t>Barla Lahikası (328)</w:t>
      </w:r>
    </w:p>
    <w:p w:rsidR="00361CD9" w:rsidRPr="00361CD9" w:rsidRDefault="00361CD9" w:rsidP="004913C9">
      <w:pPr>
        <w:spacing w:before="120" w:after="0" w:line="240" w:lineRule="auto"/>
        <w:jc w:val="both"/>
        <w:rPr>
          <w:rFonts w:ascii="Calibri" w:hAnsi="Calibri" w:cs="Calibri"/>
          <w:sz w:val="24"/>
          <w:szCs w:val="24"/>
        </w:rPr>
      </w:pPr>
      <w:r w:rsidRPr="00361CD9">
        <w:rPr>
          <w:rFonts w:ascii="Calibri" w:hAnsi="Calibri" w:cs="Calibri"/>
          <w:sz w:val="24"/>
          <w:szCs w:val="24"/>
        </w:rPr>
        <w:t>“</w:t>
      </w:r>
      <w:r w:rsidRPr="00361CD9">
        <w:rPr>
          <w:rFonts w:ascii="Calibri" w:hAnsi="Calibri" w:cs="Calibri"/>
          <w:b/>
          <w:bCs/>
          <w:sz w:val="24"/>
          <w:szCs w:val="24"/>
        </w:rPr>
        <w:t xml:space="preserve">Talebeliğin hâssası ve şartı şudur ki: </w:t>
      </w:r>
      <w:r w:rsidRPr="00361CD9">
        <w:rPr>
          <w:rFonts w:ascii="Calibri" w:hAnsi="Calibri" w:cs="Calibri"/>
          <w:sz w:val="24"/>
          <w:szCs w:val="24"/>
        </w:rPr>
        <w:t>Sözler'i kendi malı ve te'lifi gibi hissedip sahib çıksın ve en mühim vazife-i hayatiyesini, onun neşir ve hizmeti bilsin.</w:t>
      </w:r>
      <w:r>
        <w:rPr>
          <w:rFonts w:ascii="Calibri" w:hAnsi="Calibri" w:cs="Calibri"/>
          <w:sz w:val="24"/>
          <w:szCs w:val="24"/>
        </w:rPr>
        <w:t xml:space="preserve">” </w:t>
      </w:r>
      <w:r w:rsidRPr="00361CD9">
        <w:rPr>
          <w:rFonts w:ascii="Calibri" w:hAnsi="Calibri" w:cs="Calibri"/>
          <w:b/>
          <w:bCs/>
          <w:sz w:val="24"/>
          <w:szCs w:val="24"/>
        </w:rPr>
        <w:t>Mektubat (344)</w:t>
      </w:r>
    </w:p>
  </w:footnote>
  <w:footnote w:id="9">
    <w:p w:rsidR="00535E84" w:rsidRPr="00535E84" w:rsidRDefault="00535E84" w:rsidP="004913C9">
      <w:pPr>
        <w:pStyle w:val="FootnoteText"/>
        <w:spacing w:before="120"/>
        <w:jc w:val="both"/>
        <w:rPr>
          <w:b/>
          <w:bCs/>
        </w:rPr>
      </w:pPr>
      <w:r>
        <w:rPr>
          <w:rStyle w:val="FootnoteReference"/>
        </w:rPr>
        <w:footnoteRef/>
      </w:r>
      <w:r>
        <w:t xml:space="preserve"> </w:t>
      </w:r>
      <w:r w:rsidRPr="004903B0">
        <w:rPr>
          <w:i/>
          <w:iCs/>
          <w:sz w:val="24"/>
          <w:szCs w:val="24"/>
        </w:rPr>
        <w:t xml:space="preserve">(Bakınız: </w:t>
      </w:r>
      <w:r w:rsidRPr="00535E84">
        <w:rPr>
          <w:i/>
          <w:iCs/>
          <w:sz w:val="24"/>
          <w:szCs w:val="24"/>
          <w:highlight w:val="yellow"/>
        </w:rPr>
        <w:t>Gaye, Gaye-i Hayal</w:t>
      </w:r>
      <w:r>
        <w:rPr>
          <w:i/>
          <w:iCs/>
          <w:sz w:val="24"/>
          <w:szCs w:val="24"/>
        </w:rPr>
        <w:t xml:space="preserve"> ve </w:t>
      </w:r>
      <w:r w:rsidRPr="00535E84">
        <w:rPr>
          <w:i/>
          <w:iCs/>
          <w:sz w:val="24"/>
          <w:szCs w:val="24"/>
          <w:highlight w:val="yellow"/>
        </w:rPr>
        <w:t>Gaye Sahibi Olmak Esası</w:t>
      </w:r>
      <w:r>
        <w:rPr>
          <w:i/>
          <w:iCs/>
          <w:sz w:val="24"/>
          <w:szCs w:val="24"/>
        </w:rPr>
        <w:t xml:space="preserve"> </w:t>
      </w:r>
      <w:r w:rsidRPr="004903B0">
        <w:rPr>
          <w:i/>
          <w:iCs/>
          <w:sz w:val="24"/>
          <w:szCs w:val="24"/>
        </w:rPr>
        <w:t>Derleme</w:t>
      </w:r>
      <w:r>
        <w:rPr>
          <w:i/>
          <w:iCs/>
          <w:sz w:val="24"/>
          <w:szCs w:val="24"/>
        </w:rPr>
        <w:t>ler</w:t>
      </w:r>
      <w:r w:rsidRPr="004903B0">
        <w:rPr>
          <w:i/>
          <w:iCs/>
          <w:sz w:val="24"/>
          <w:szCs w:val="24"/>
        </w:rPr>
        <w:t>i)</w:t>
      </w:r>
    </w:p>
  </w:footnote>
  <w:footnote w:id="10">
    <w:p w:rsidR="00717DCC" w:rsidRDefault="00717DCC" w:rsidP="004913C9">
      <w:pPr>
        <w:pStyle w:val="FootnoteText"/>
        <w:spacing w:before="120"/>
        <w:jc w:val="both"/>
      </w:pPr>
      <w:r>
        <w:rPr>
          <w:rStyle w:val="FootnoteReference"/>
        </w:rPr>
        <w:footnoteRef/>
      </w:r>
      <w:r>
        <w:t xml:space="preserve"> </w:t>
      </w:r>
      <w:r w:rsidRPr="004903B0">
        <w:rPr>
          <w:i/>
          <w:iCs/>
          <w:sz w:val="24"/>
          <w:szCs w:val="24"/>
        </w:rPr>
        <w:t xml:space="preserve">(Bakınız: </w:t>
      </w:r>
      <w:r w:rsidRPr="00717DCC">
        <w:rPr>
          <w:i/>
          <w:iCs/>
          <w:sz w:val="24"/>
          <w:szCs w:val="24"/>
          <w:highlight w:val="yellow"/>
        </w:rPr>
        <w:t>İman Ve İmana Hizmetin Ehemmiyeti</w:t>
      </w:r>
      <w:r w:rsidRPr="00717DCC">
        <w:rPr>
          <w:i/>
          <w:iCs/>
          <w:sz w:val="24"/>
          <w:szCs w:val="24"/>
        </w:rPr>
        <w:t xml:space="preserve"> </w:t>
      </w:r>
      <w:r>
        <w:rPr>
          <w:i/>
          <w:iCs/>
          <w:sz w:val="24"/>
          <w:szCs w:val="24"/>
        </w:rPr>
        <w:t xml:space="preserve">ve </w:t>
      </w:r>
      <w:r w:rsidRPr="00717DCC">
        <w:rPr>
          <w:i/>
          <w:iCs/>
          <w:sz w:val="24"/>
          <w:szCs w:val="24"/>
          <w:highlight w:val="yellow"/>
        </w:rPr>
        <w:t>Kainatın En Büyük Mes’elesi</w:t>
      </w:r>
      <w:r w:rsidRPr="00717DCC">
        <w:rPr>
          <w:i/>
          <w:iCs/>
          <w:sz w:val="24"/>
          <w:szCs w:val="24"/>
        </w:rPr>
        <w:t xml:space="preserve"> </w:t>
      </w:r>
      <w:r w:rsidRPr="004903B0">
        <w:rPr>
          <w:i/>
          <w:iCs/>
          <w:sz w:val="24"/>
          <w:szCs w:val="24"/>
        </w:rPr>
        <w:t>Derleme</w:t>
      </w:r>
      <w:r>
        <w:rPr>
          <w:i/>
          <w:iCs/>
          <w:sz w:val="24"/>
          <w:szCs w:val="24"/>
        </w:rPr>
        <w:t>ler</w:t>
      </w:r>
      <w:r w:rsidRPr="004903B0">
        <w:rPr>
          <w:i/>
          <w:iCs/>
          <w:sz w:val="24"/>
          <w:szCs w:val="24"/>
        </w:rPr>
        <w:t>i)</w:t>
      </w:r>
    </w:p>
  </w:footnote>
  <w:footnote w:id="11">
    <w:p w:rsidR="00717DCC" w:rsidRDefault="00717DCC" w:rsidP="004913C9">
      <w:pPr>
        <w:spacing w:before="120" w:after="0" w:line="240" w:lineRule="auto"/>
        <w:jc w:val="both"/>
        <w:rPr>
          <w:rFonts w:ascii="Calibri" w:hAnsi="Calibri" w:cs="Calibri"/>
          <w:b/>
          <w:bCs/>
          <w:sz w:val="24"/>
          <w:szCs w:val="24"/>
        </w:rPr>
      </w:pPr>
      <w:r>
        <w:rPr>
          <w:rStyle w:val="FootnoteReference"/>
        </w:rPr>
        <w:footnoteRef/>
      </w:r>
      <w:r>
        <w:t xml:space="preserve"> </w:t>
      </w:r>
      <w:r>
        <w:rPr>
          <w:rFonts w:ascii="Calibri" w:hAnsi="Calibri" w:cs="Calibri"/>
          <w:sz w:val="24"/>
          <w:szCs w:val="24"/>
        </w:rPr>
        <w:t>“</w:t>
      </w:r>
      <w:r w:rsidRPr="00717DCC">
        <w:rPr>
          <w:rFonts w:ascii="Calibri" w:hAnsi="Calibri" w:cs="Calibri"/>
          <w:sz w:val="24"/>
          <w:szCs w:val="24"/>
        </w:rPr>
        <w:t>Madem Risale-i Nur, bu mu'cize-i kübranın elinde bir elmas kılınç hükmünde hizmetini göstermiş ve muannid düşmanlarını teslime mecbur etmiş. Hem kalbi, hem ruhu, hem hissiyatı tam tenvir edecek ve ilâçlarını verecek bir tarzda hazine-i Kur'aniyenin dellâllığını yapan ve ondan başka me'hazı ve mercii olmayan ve bir mu'cize-i maneviyesi bulunan Risale-i Nur o vazifeyi tam yapıyor ve aleyhindeki dehşetli propagandalara ve gayet muannid zındıklara tam galebe çalmış ve dalaletin en sert kuvvetli kalesi olan tabiatı, Tabiat Risalesi'yle parça parça etmiş ve gafletin en kalın ve boğucu ve geniş daire-i âfâkında ve fennin en geniş perdelerinde Asâ-yı Musa'daki Meyve'nin Altıncı Mes'elesi ve Birinci, İkinci, Üçüncü, Sekizinci Hüccetleriyle gayet parlak bir tarzda gafleti dağıtıp, nur-u tevhidi göstermiş</w:t>
      </w:r>
      <w:r>
        <w:rPr>
          <w:rFonts w:ascii="Calibri" w:hAnsi="Calibri" w:cs="Calibri"/>
          <w:sz w:val="24"/>
          <w:szCs w:val="24"/>
        </w:rPr>
        <w:t xml:space="preserve">.” </w:t>
      </w:r>
      <w:r w:rsidRPr="00717DCC">
        <w:rPr>
          <w:rFonts w:ascii="Calibri" w:hAnsi="Calibri" w:cs="Calibri"/>
          <w:b/>
          <w:bCs/>
          <w:sz w:val="24"/>
          <w:szCs w:val="24"/>
        </w:rPr>
        <w:t>Sözler (155)</w:t>
      </w:r>
    </w:p>
    <w:p w:rsidR="00717DCC" w:rsidRPr="00717DCC" w:rsidRDefault="00717DCC" w:rsidP="004913C9">
      <w:pPr>
        <w:spacing w:before="120" w:after="0" w:line="240" w:lineRule="auto"/>
        <w:jc w:val="both"/>
        <w:rPr>
          <w:rFonts w:ascii="Calibri" w:hAnsi="Calibri" w:cs="Calibri"/>
          <w:sz w:val="24"/>
          <w:szCs w:val="24"/>
        </w:rPr>
      </w:pPr>
      <w:r w:rsidRPr="00717DCC">
        <w:rPr>
          <w:rFonts w:ascii="Calibri" w:hAnsi="Calibri" w:cs="Calibri"/>
          <w:sz w:val="24"/>
          <w:szCs w:val="24"/>
        </w:rPr>
        <w:t>“</w:t>
      </w:r>
      <w:r w:rsidRPr="00717DCC">
        <w:rPr>
          <w:rFonts w:ascii="Calibri" w:hAnsi="Calibri" w:cs="Calibri"/>
          <w:color w:val="FF0000"/>
          <w:sz w:val="28"/>
          <w:szCs w:val="28"/>
          <w:rtl/>
        </w:rPr>
        <w:t>لِلَّذِينَ آمَنُوا هُدًى وَ شِفَاءٌ</w:t>
      </w:r>
      <w:r w:rsidRPr="00717DCC">
        <w:rPr>
          <w:rFonts w:ascii="Calibri" w:hAnsi="Calibri" w:cs="Calibri"/>
          <w:sz w:val="24"/>
          <w:szCs w:val="24"/>
        </w:rPr>
        <w:t xml:space="preserve"> dur. Şu şifalı âyet çok zamandır benim derdlerimin şifası ve ilâcı olduğu gibi eczahane-i kübra-yı İlahiye olan Kur'an-ı Hakîm'in tiryakî ilâçlarından, Risale-in Nur eczalarının kavanozlarından alarak belki bin manevî derdlerime bin kudsî şifayı buldum ve Resail-in Nur şakirdleri dahi buldular. Ve fenden ve felsefenin bataklığından çıkan ve tedavisi çok müşkil olan ve zındıka hastalığına mübtela olanlardan çokları onunla şifalarını buldular.</w:t>
      </w:r>
    </w:p>
    <w:p w:rsidR="00717DCC" w:rsidRDefault="00717DCC" w:rsidP="004913C9">
      <w:pPr>
        <w:spacing w:before="120" w:after="0" w:line="240" w:lineRule="auto"/>
        <w:jc w:val="both"/>
        <w:rPr>
          <w:rFonts w:ascii="Calibri" w:hAnsi="Calibri" w:cs="Calibri"/>
          <w:b/>
          <w:bCs/>
          <w:sz w:val="24"/>
          <w:szCs w:val="24"/>
        </w:rPr>
      </w:pPr>
      <w:r w:rsidRPr="00717DCC">
        <w:rPr>
          <w:rFonts w:ascii="Calibri" w:hAnsi="Calibri" w:cs="Calibri"/>
          <w:sz w:val="24"/>
          <w:szCs w:val="24"/>
        </w:rPr>
        <w:t>İşte her derde şifa olan Kur'anın ilâçlarının bu zamanda bir kısım kavanozları hükmünde bulunan Resail-in Nur dahi bu şifadar</w:t>
      </w:r>
      <w:r>
        <w:rPr>
          <w:rFonts w:ascii="Calibri" w:hAnsi="Calibri" w:cs="Calibri"/>
          <w:sz w:val="24"/>
          <w:szCs w:val="24"/>
        </w:rPr>
        <w:t xml:space="preserve"> </w:t>
      </w:r>
      <w:r w:rsidRPr="00717DCC">
        <w:rPr>
          <w:rFonts w:ascii="Calibri" w:hAnsi="Calibri" w:cs="Calibri"/>
          <w:sz w:val="24"/>
          <w:szCs w:val="24"/>
        </w:rPr>
        <w:t>âye</w:t>
      </w:r>
      <w:r>
        <w:rPr>
          <w:rFonts w:ascii="Calibri" w:hAnsi="Calibri" w:cs="Calibri"/>
          <w:sz w:val="24"/>
          <w:szCs w:val="24"/>
        </w:rPr>
        <w:t xml:space="preserve">tin bir medar-ı nazarı olduğuna” </w:t>
      </w:r>
      <w:r w:rsidRPr="00717DCC">
        <w:rPr>
          <w:rFonts w:ascii="Calibri" w:hAnsi="Calibri" w:cs="Calibri"/>
          <w:b/>
          <w:bCs/>
          <w:sz w:val="24"/>
          <w:szCs w:val="24"/>
        </w:rPr>
        <w:t>Şualar (703)</w:t>
      </w:r>
    </w:p>
    <w:p w:rsidR="00717DCC" w:rsidRPr="008104AC" w:rsidRDefault="00717DCC" w:rsidP="004913C9">
      <w:pPr>
        <w:spacing w:before="120" w:after="0" w:line="240" w:lineRule="auto"/>
        <w:jc w:val="both"/>
        <w:rPr>
          <w:rFonts w:ascii="Calibri" w:hAnsi="Calibri" w:cs="Calibri"/>
          <w:sz w:val="24"/>
          <w:szCs w:val="24"/>
        </w:rPr>
      </w:pPr>
      <w:r w:rsidRPr="008104AC">
        <w:rPr>
          <w:rFonts w:ascii="Calibri" w:hAnsi="Calibri" w:cs="Calibri"/>
          <w:b/>
          <w:bCs/>
          <w:sz w:val="24"/>
          <w:szCs w:val="24"/>
        </w:rPr>
        <w:t xml:space="preserve">Ayrıca </w:t>
      </w:r>
      <w:r w:rsidRPr="008104AC">
        <w:rPr>
          <w:i/>
          <w:iCs/>
          <w:sz w:val="24"/>
          <w:szCs w:val="24"/>
        </w:rPr>
        <w:t xml:space="preserve">(Bakınız: </w:t>
      </w:r>
      <w:r w:rsidRPr="008104AC">
        <w:rPr>
          <w:i/>
          <w:iCs/>
          <w:sz w:val="24"/>
          <w:szCs w:val="24"/>
          <w:highlight w:val="yellow"/>
        </w:rPr>
        <w:t>Risale-i Nur</w:t>
      </w:r>
      <w:r w:rsidRPr="008104AC">
        <w:rPr>
          <w:i/>
          <w:iCs/>
          <w:sz w:val="24"/>
          <w:szCs w:val="24"/>
        </w:rPr>
        <w:t xml:space="preserve"> Derlemesi)</w:t>
      </w:r>
    </w:p>
  </w:footnote>
  <w:footnote w:id="12">
    <w:p w:rsidR="008104AC" w:rsidRPr="008104AC" w:rsidRDefault="008104AC" w:rsidP="004913C9">
      <w:pPr>
        <w:pStyle w:val="FootnoteText"/>
        <w:spacing w:before="120"/>
        <w:jc w:val="both"/>
        <w:rPr>
          <w:sz w:val="24"/>
          <w:szCs w:val="24"/>
        </w:rPr>
      </w:pPr>
      <w:r w:rsidRPr="008104AC">
        <w:rPr>
          <w:rStyle w:val="FootnoteReference"/>
          <w:sz w:val="24"/>
          <w:szCs w:val="24"/>
        </w:rPr>
        <w:footnoteRef/>
      </w:r>
      <w:r w:rsidRPr="008104AC">
        <w:rPr>
          <w:sz w:val="24"/>
          <w:szCs w:val="24"/>
        </w:rPr>
        <w:t xml:space="preserve"> </w:t>
      </w:r>
      <w:r>
        <w:rPr>
          <w:sz w:val="24"/>
          <w:szCs w:val="24"/>
        </w:rPr>
        <w:t>“</w:t>
      </w:r>
      <w:r w:rsidRPr="008104AC">
        <w:rPr>
          <w:sz w:val="24"/>
          <w:szCs w:val="24"/>
        </w:rPr>
        <w:t>Halbuki hizmet-i Kur'aniyede bulunana; ya dünya ona küsmeli veya o dünyaya küsmeli. Tâ ihlas ile, ciddiyet ile hizmet-i Kur'aniyede bulunsun.</w:t>
      </w:r>
      <w:r>
        <w:rPr>
          <w:sz w:val="24"/>
          <w:szCs w:val="24"/>
        </w:rPr>
        <w:t xml:space="preserve">” </w:t>
      </w:r>
      <w:r>
        <w:rPr>
          <w:b/>
          <w:bCs/>
          <w:sz w:val="24"/>
          <w:szCs w:val="24"/>
        </w:rPr>
        <w:t>Lem'alar (</w:t>
      </w:r>
      <w:r w:rsidRPr="008104AC">
        <w:rPr>
          <w:b/>
          <w:bCs/>
          <w:sz w:val="24"/>
          <w:szCs w:val="24"/>
        </w:rPr>
        <w:t>42)</w:t>
      </w:r>
    </w:p>
    <w:p w:rsidR="008104AC" w:rsidRDefault="008104AC" w:rsidP="004913C9">
      <w:pPr>
        <w:pStyle w:val="FootnoteText"/>
        <w:spacing w:before="120"/>
        <w:jc w:val="both"/>
      </w:pPr>
      <w:r>
        <w:t>“</w:t>
      </w:r>
      <w:r w:rsidRPr="008104AC">
        <w:rPr>
          <w:rFonts w:ascii="Calibri" w:hAnsi="Calibri" w:cs="Calibri"/>
          <w:sz w:val="24"/>
          <w:szCs w:val="24"/>
        </w:rPr>
        <w:t>Cenab-ı Hak bir abdini severse, dünyayı ona küstürür, çirkin gösterir. İnşâallah sen d</w:t>
      </w:r>
      <w:r>
        <w:rPr>
          <w:rFonts w:ascii="Calibri" w:hAnsi="Calibri" w:cs="Calibri"/>
          <w:sz w:val="24"/>
          <w:szCs w:val="24"/>
        </w:rPr>
        <w:t>e o sevgililerin sınıfındansın.</w:t>
      </w:r>
      <w:r w:rsidRPr="008104AC">
        <w:rPr>
          <w:rFonts w:ascii="Calibri" w:hAnsi="Calibri" w:cs="Calibri"/>
          <w:sz w:val="24"/>
          <w:szCs w:val="24"/>
        </w:rPr>
        <w:t>"</w:t>
      </w:r>
      <w:r>
        <w:rPr>
          <w:rFonts w:ascii="Calibri" w:hAnsi="Calibri" w:cs="Calibri"/>
          <w:sz w:val="24"/>
          <w:szCs w:val="24"/>
        </w:rPr>
        <w:t xml:space="preserve"> </w:t>
      </w:r>
      <w:r>
        <w:rPr>
          <w:rFonts w:ascii="Calibri" w:hAnsi="Calibri" w:cs="Calibri"/>
          <w:b/>
          <w:bCs/>
          <w:sz w:val="24"/>
          <w:szCs w:val="24"/>
        </w:rPr>
        <w:t>Mektubat (</w:t>
      </w:r>
      <w:r w:rsidRPr="008104AC">
        <w:rPr>
          <w:rFonts w:ascii="Calibri" w:hAnsi="Calibri" w:cs="Calibri"/>
          <w:b/>
          <w:bCs/>
          <w:sz w:val="24"/>
          <w:szCs w:val="24"/>
        </w:rPr>
        <w:t>278)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3250C7"/>
    <w:rsid w:val="0024568A"/>
    <w:rsid w:val="003250C7"/>
    <w:rsid w:val="00361CD9"/>
    <w:rsid w:val="0042273B"/>
    <w:rsid w:val="00452881"/>
    <w:rsid w:val="004913C9"/>
    <w:rsid w:val="00535E84"/>
    <w:rsid w:val="0069323D"/>
    <w:rsid w:val="00717DCC"/>
    <w:rsid w:val="00760A44"/>
    <w:rsid w:val="007B5689"/>
    <w:rsid w:val="007D7C92"/>
    <w:rsid w:val="008104AC"/>
    <w:rsid w:val="00B71EBA"/>
    <w:rsid w:val="00BB4D9A"/>
    <w:rsid w:val="00E2361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250C7"/>
    <w:rPr>
      <w:vertAlign w:val="superscript"/>
    </w:rPr>
  </w:style>
  <w:style w:type="paragraph" w:styleId="FootnoteText">
    <w:name w:val="footnote text"/>
    <w:basedOn w:val="Normal"/>
    <w:link w:val="FootnoteTextChar"/>
    <w:uiPriority w:val="99"/>
    <w:semiHidden/>
    <w:unhideWhenUsed/>
    <w:rsid w:val="003250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0C7"/>
    <w:rPr>
      <w:sz w:val="20"/>
      <w:szCs w:val="20"/>
    </w:rPr>
  </w:style>
  <w:style w:type="character" w:customStyle="1" w:styleId="DipnotSabitleyicisi">
    <w:name w:val="Dipnot Sabitleyicisi"/>
    <w:rsid w:val="003250C7"/>
    <w:rPr>
      <w:vertAlign w:val="superscript"/>
    </w:rPr>
  </w:style>
  <w:style w:type="character" w:customStyle="1" w:styleId="DipnotKarakterleri">
    <w:name w:val="Dipnot Karakterleri"/>
    <w:qFormat/>
    <w:rsid w:val="003250C7"/>
  </w:style>
  <w:style w:type="paragraph" w:customStyle="1" w:styleId="Footnote">
    <w:name w:val="Footnote"/>
    <w:basedOn w:val="Normal"/>
    <w:qFormat/>
    <w:rsid w:val="003250C7"/>
    <w:pPr>
      <w:suppressLineNumbers/>
      <w:spacing w:after="0" w:line="240" w:lineRule="auto"/>
      <w:ind w:left="339" w:hanging="339"/>
    </w:pPr>
    <w:rPr>
      <w:rFonts w:ascii="Liberation Serif" w:eastAsia="NSimSun" w:hAnsi="Liberation Serif" w:cs="Arial"/>
      <w:kern w:val="2"/>
      <w:sz w:val="20"/>
      <w:szCs w:val="20"/>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C9B2-D041-49B1-ACD4-A2E8ED56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90535</dc:creator>
  <cp:lastModifiedBy>90535</cp:lastModifiedBy>
  <cp:revision>4</cp:revision>
  <dcterms:created xsi:type="dcterms:W3CDTF">2024-01-21T10:29:00Z</dcterms:created>
  <dcterms:modified xsi:type="dcterms:W3CDTF">2024-01-21T14:51:00Z</dcterms:modified>
</cp:coreProperties>
</file>